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36"/>
          <w:szCs w:val="36"/>
        </w:rPr>
        <w:drawing>
          <wp:inline distB="114300" distT="114300" distL="114300" distR="114300">
            <wp:extent cx="5734050" cy="104913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49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  <w:rtl w:val="0"/>
        </w:rPr>
        <w:t xml:space="preserve">CRITERIA LISTING FOR SUPER URGENT LIVER TRANSPLANTATION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PARACETAMOL POISONING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pH&lt;7.25 more than 24h after overdose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after fluid resuscitation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Co-existing prothrombin time &gt;100s (or) INR &gt;6.5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serum creatinine &gt;3.4mg/dL (or) anuria: 24hr urine output &lt;100ml,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Grade 3–4 encephalopathy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PREREQUISITES: adequate fluid resuscitation, and exclusion of other causes of hyperlactemia (e.g. pancreatitis, intestitial ischemia)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Arterial lactate &gt;5mmol/L on admission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&gt;4 mmol/L 24h later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Clinical hepatic encephalopathy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80000"/>
          <w:sz w:val="32"/>
          <w:szCs w:val="32"/>
          <w:u w:val="none"/>
          <w:shd w:fill="auto" w:val="clear"/>
          <w:vertAlign w:val="baseline"/>
          <w:rtl w:val="0"/>
        </w:rPr>
        <w:t xml:space="preserve">Category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PREREQUISITES: Absence of clinical sepsis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(Any two from the below 1, 2 and 3   &amp; features suggestive of deterioration from 4, 5 and 6)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Co-existing prothrombin time &gt;100s (or) INR &gt;6.5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 w:firstLine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erum creatinine &gt;3.4mg/dL (or) anuria: 24hr urine output &lt;100ml,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Grade 3–4 encephalopathy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Increased Intra cranial pressure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Fi0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&gt; 50%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Increasing inotropes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6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6000"/>
          <w:sz w:val="32"/>
          <w:szCs w:val="32"/>
          <w:u w:val="single"/>
          <w:shd w:fill="auto" w:val="clear"/>
          <w:vertAlign w:val="baseline"/>
          <w:rtl w:val="0"/>
        </w:rPr>
        <w:t xml:space="preserve">UNFAVORABLE ETIOLOGIES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Seronegative hepatitis, idiosyncratic drug reactions, drug-induced liver injury.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80000"/>
          <w:sz w:val="32"/>
          <w:szCs w:val="32"/>
          <w:u w:val="none"/>
          <w:shd w:fill="auto" w:val="clear"/>
          <w:vertAlign w:val="baseline"/>
          <w:rtl w:val="0"/>
        </w:rPr>
        <w:t xml:space="preserve">Category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Prothrombin time&gt;100s or INR &gt;6.5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If hepatic encephalopathy is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absent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is mandatory and any two from 2,3,4,5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INR&gt;2 after vitamin K repletion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Age&gt;40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Age&lt;10years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Prothrombin time &gt; 50sec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INR &gt;3.5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c559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hepatic encephalopathy is </w:t>
      </w:r>
      <w:r w:rsidDel="00000000" w:rsidR="00000000" w:rsidRPr="00000000">
        <w:rPr>
          <w:rFonts w:ascii="Times New Roman" w:cs="Times New Roman" w:eastAsia="Times New Roman" w:hAnsi="Times New Roman"/>
          <w:color w:val="c55911"/>
          <w:sz w:val="28"/>
          <w:szCs w:val="28"/>
          <w:u w:val="single"/>
          <w:rtl w:val="0"/>
        </w:rPr>
        <w:t xml:space="preserve">present</w:t>
      </w:r>
      <w:r w:rsidDel="00000000" w:rsidR="00000000" w:rsidRPr="00000000">
        <w:rPr>
          <w:rFonts w:ascii="Times New Roman" w:cs="Times New Roman" w:eastAsia="Times New Roman" w:hAnsi="Times New Roman"/>
          <w:color w:val="c55911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Jaundice to encephalopathy time &gt; 7 days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Serum bilirubin &gt;17.5 mg/dl (&gt;300 mmol/L)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FAVORABLE ETIOLOGIES</w:t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Acute viral hepatitis: Hepatitis A, Hepatitis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6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Clinical hepatic encephalopathy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Prothrombin time&gt;100s or INR &gt;6.5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8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‘2’ is absent, any three from 3,4,5,6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Age&gt;40 or &lt;10 years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Prothrombin time &gt; 50sec or INR&gt;3.5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Jaundice to encephalopathy time &gt;7 days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5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Serum bilirubin &gt;17.5mg/dL(300mmol/l)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ACUTE PRESENTATION OF DISEASES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7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Wilson's disease, autoimmune hepatitis or Budd-Chiari syndrome with a combination of coagulopathy and encephalopathy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HEPATIC ARTERY THROMBOSIS (HAT)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8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HAT within 21days of liver transplantation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SEVERE EARLY ALLOGRAFT DYSFUNCTION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9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Allograft dysfunction within 7 days of liver transplantation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 least two of the following from 1,2,3,4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AST&gt;10,000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INR&gt;3.0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Arterial lactate&gt;3mmol/L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Absence of bile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TOTAL HEPATECTOMY PATIENT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10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Patients who have undergone total hepatectomy e.g. in cases of trauma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LIVER FAILURE IN LIVE LIVER DONOR</w:t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11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patient who has been a living liver donor, who develops severe liver failure within 4weeks of the donor surgery.</w:t>
      </w:r>
    </w:p>
    <w:p w:rsidR="00000000" w:rsidDel="00000000" w:rsidP="00000000" w:rsidRDefault="00000000" w:rsidRPr="00000000" w14:paraId="0000004C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ACUTE LIVER FAILURE IN CHILDREN</w:t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12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Acute liver failure in children under 2 years of age.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INR&gt;4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Encephalopathy Grade 3-4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000"/>
          <w:sz w:val="32"/>
          <w:szCs w:val="32"/>
          <w:u w:val="single"/>
          <w:rtl w:val="0"/>
        </w:rPr>
        <w:t xml:space="preserve">RATOL (YELLOW PHOSPHORUS POISONING)</w:t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Category 13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Patient meeting any of 1, 2, 3.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Prothrombin time &gt;100s or INR&gt;6.5 after vitamin K repletion.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patients undergoing plasmapheresis, INR&gt;2.5, 12h after the second set of plasmaphereses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MELD&gt;37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Hepatic Encephalopathy grade II and above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8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0" w:sz="8" w:val="single"/>
      </w:pBdr>
      <w:spacing w:after="0" w:line="240" w:lineRule="auto"/>
      <w:ind w:right="-6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K-SOTTO/CRITERIA/SULT </w:t>
      <w:tab/>
      <w:tab/>
      <w:tab/>
      <w:t xml:space="preserve"> </w:t>
      <w:tab/>
      <w:tab/>
      <w:tab/>
      <w:tab/>
      <w:tab/>
      <w:tab/>
      <w:t xml:space="preserve">            Page: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/4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/>
      <w:pict>
        <v:shape id="WordPictureWatermark1" style="position:absolute;width:451.27559055118115pt;height:465.743968263509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